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273D9A34" w14:textId="4CC727D2" w:rsidR="000B7D6F" w:rsidRPr="00B936D6" w:rsidRDefault="006B6D79" w:rsidP="000B7D6F">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①</w:t>
            </w:r>
            <w:r w:rsidRPr="00B936D6">
              <w:rPr>
                <w:rFonts w:eastAsiaTheme="minorHAnsi" w:cs="Times New Roman"/>
                <w:kern w:val="0"/>
                <w:sz w:val="18"/>
                <w:szCs w:val="18"/>
              </w:rPr>
              <w:t xml:space="preserve"> 工事・操業期間を通じて、キルン等から排出される硫黄酸化物（</w:t>
            </w:r>
            <w:proofErr w:type="spellStart"/>
            <w:r w:rsidRPr="00B936D6">
              <w:rPr>
                <w:rFonts w:eastAsiaTheme="minorHAnsi" w:cs="Times New Roman"/>
                <w:kern w:val="0"/>
                <w:sz w:val="18"/>
                <w:szCs w:val="18"/>
              </w:rPr>
              <w:t>SOx</w:t>
            </w:r>
            <w:proofErr w:type="spellEnd"/>
            <w:r w:rsidRPr="00B936D6">
              <w:rPr>
                <w:rFonts w:eastAsiaTheme="minorHAnsi" w:cs="Times New Roman"/>
                <w:kern w:val="0"/>
                <w:sz w:val="18"/>
                <w:szCs w:val="18"/>
              </w:rPr>
              <w:t>）、窒素酸化物（NOx）、浮遊粒子状物質（PM）、重金属等の大気汚染物質は適切に管理されるか。また、操業時の排出について、除去装置の設置・監視等適切な排出管理措置が講じられ、プロジェクト所在国の排出基準を満足し、国際基準に適合するか。</w:t>
            </w:r>
          </w:p>
          <w:p w14:paraId="0F4F854C" w14:textId="09A319CF" w:rsidR="006B6D79" w:rsidRPr="00B936D6" w:rsidRDefault="006B6D79" w:rsidP="000B7D6F">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②</w:t>
            </w:r>
            <w:r w:rsidRPr="00B936D6">
              <w:rPr>
                <w:rFonts w:eastAsiaTheme="minorHAnsi" w:cs="Times New Roman"/>
                <w:kern w:val="0"/>
                <w:sz w:val="18"/>
                <w:szCs w:val="18"/>
              </w:rPr>
              <w:t xml:space="preserve"> クリンカー冷却機、ミル、採石場、破砕プラント等からの粉塵、石炭を利用する場合は貯炭場や石炭搬送施設からの飛散炭塵について、除去装置の設置・監視等適切な排出管理措置が講じられ、プロジェクト所在国の排出基準を満足し、国際基準に適合するか。</w:t>
            </w:r>
          </w:p>
          <w:p w14:paraId="509201F6" w14:textId="587A04A1" w:rsidR="00537738" w:rsidRPr="00B936D6" w:rsidRDefault="006B6D79" w:rsidP="000B7D6F">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③</w:t>
            </w:r>
            <w:r w:rsidR="00891DC7" w:rsidRPr="00B936D6">
              <w:rPr>
                <w:rFonts w:eastAsiaTheme="minorHAnsi" w:cs="Times New Roman"/>
                <w:kern w:val="0"/>
                <w:sz w:val="18"/>
                <w:szCs w:val="18"/>
              </w:rPr>
              <w:t xml:space="preserve"> </w:t>
            </w:r>
            <w:r w:rsidRPr="00B936D6">
              <w:rPr>
                <w:rFonts w:eastAsiaTheme="minorHAnsi" w:cs="Times New Roman"/>
                <w:kern w:val="0"/>
                <w:sz w:val="18"/>
                <w:szCs w:val="18"/>
              </w:rPr>
              <w:t>プロジェクトに起因する大気汚染物質により、プロジェクト所在国の環境基準を満足しない区域や国際基準に適合しない区域が生じないか。</w:t>
            </w:r>
          </w:p>
          <w:p w14:paraId="03E96A54" w14:textId="73BCCF43" w:rsidR="006B6D79" w:rsidRPr="00C348D5" w:rsidRDefault="006B6D79" w:rsidP="000B7D6F">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④</w:t>
            </w:r>
            <w:r w:rsidRPr="00B936D6">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5BC2FBA4" w14:textId="536ACA9C" w:rsidR="00130423" w:rsidRPr="00130423" w:rsidRDefault="006B6D79" w:rsidP="00130423">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①</w:t>
            </w:r>
            <w:r w:rsidRPr="00B936D6">
              <w:rPr>
                <w:rFonts w:eastAsiaTheme="minorHAnsi" w:cs="Times New Roman"/>
                <w:kern w:val="0"/>
                <w:sz w:val="18"/>
                <w:szCs w:val="18"/>
              </w:rPr>
              <w:t xml:space="preserve"> 工事・操業期間を通じて、生産施設、採石場等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5FD76999"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6B5443DA" w:rsidR="00130423" w:rsidRPr="00130423" w:rsidRDefault="00E472D4" w:rsidP="00130423">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②</w:t>
            </w:r>
            <w:r w:rsidRPr="00B936D6">
              <w:rPr>
                <w:rFonts w:eastAsiaTheme="minorHAnsi" w:cs="Times New Roman"/>
                <w:kern w:val="0"/>
                <w:sz w:val="18"/>
                <w:szCs w:val="18"/>
              </w:rPr>
              <w:t xml:space="preserve"> 工事・操業期間を通じて、施設から発生する廃棄物(一般廃棄物、有害廃棄物及びその他の産業廃棄物、特にクリンカー製造時に発生する廃棄物やセメントキルンダスト、採石場からの剥土、捨石等）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E472D4">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459B5A47" w14:textId="7717DB25" w:rsidR="00537738" w:rsidRPr="00B936D6" w:rsidRDefault="00E472D4" w:rsidP="00130423">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①</w:t>
            </w:r>
            <w:r w:rsidRPr="00B936D6">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工事・操業に伴う騒音・振動について、防音装置や振動絶縁の設置等、発生源に対する適切な管理が講じられ、プロジェクト所在国の基準を満足し、国際基準に適合するか（特にプラント、採石場等）。</w:t>
            </w:r>
          </w:p>
          <w:p w14:paraId="09017F55" w14:textId="61B02B08" w:rsidR="00E472D4" w:rsidRPr="00B936D6" w:rsidRDefault="00E472D4" w:rsidP="00130423">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②</w:t>
            </w:r>
            <w:r w:rsidR="00891DC7" w:rsidRPr="00B936D6">
              <w:rPr>
                <w:rFonts w:eastAsiaTheme="minorHAnsi" w:cs="Times New Roman" w:hint="eastAsia"/>
                <w:kern w:val="0"/>
                <w:sz w:val="18"/>
                <w:szCs w:val="18"/>
              </w:rPr>
              <w:t xml:space="preserve"> </w:t>
            </w:r>
            <w:r w:rsidRPr="00B936D6">
              <w:rPr>
                <w:rFonts w:eastAsiaTheme="minorHAnsi" w:cs="Times New Roman" w:hint="eastAsia"/>
                <w:kern w:val="0"/>
                <w:sz w:val="18"/>
                <w:szCs w:val="18"/>
              </w:rPr>
              <w:t>作業環境における騒音、振動はプロジェクト所在国の労働安全基準を満足し、国際基準に適合するか。必要に応じて遮音壁等の防音対策や耳栓着用等の適切な対策が計画されるか。</w:t>
            </w:r>
          </w:p>
          <w:p w14:paraId="3A5AC9C5" w14:textId="013D9928" w:rsidR="00E472D4" w:rsidRPr="00C348D5" w:rsidRDefault="00E472D4" w:rsidP="00130423">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③</w:t>
            </w:r>
            <w:r w:rsidRPr="00B936D6">
              <w:rPr>
                <w:rFonts w:eastAsiaTheme="minorHAnsi" w:cs="Times New Roman"/>
                <w:kern w:val="0"/>
                <w:sz w:val="18"/>
                <w:szCs w:val="18"/>
              </w:rPr>
              <w:t xml:space="preserve"> 建設資材、原材料、製品等の輸送を行う大型トラックの通行による騒音の影響が生じないよう、可能な限り居住エリアを回避するルートの利用徹底、速度管理、積載量監視等の管理策を講じているか。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501358D1"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B936D6">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286837">
        <w:trPr>
          <w:cantSplit/>
          <w:trHeight w:val="1365"/>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286837">
              <w:rPr>
                <w:rFonts w:eastAsiaTheme="minorHAnsi" w:cs="Times New Roman"/>
                <w:kern w:val="0"/>
                <w:sz w:val="18"/>
                <w:szCs w:val="18"/>
                <w:eastAsianLayout w:id="-1494961408"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42FDAEDB" w14:textId="0E100753"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21E05AEC" w14:textId="77777777" w:rsidTr="00891DC7">
        <w:tc>
          <w:tcPr>
            <w:tcW w:w="1300" w:type="dxa"/>
            <w:tcBorders>
              <w:left w:val="single" w:sz="4" w:space="0" w:color="auto"/>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7D02808D"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36DF98C3" w14:textId="77777777" w:rsidR="00E472D4" w:rsidRPr="00C348D5" w:rsidRDefault="00E472D4" w:rsidP="00E472D4">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AF43EB1" w14:textId="7A5E63AA"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kern w:val="0"/>
                <w:sz w:val="18"/>
                <w:szCs w:val="18"/>
              </w:rPr>
              <w:t>(</w:t>
            </w:r>
            <w:r w:rsidRPr="00B936D6">
              <w:rPr>
                <w:rFonts w:eastAsiaTheme="minorHAnsi" w:cs="Times New Roman" w:hint="eastAsia"/>
                <w:kern w:val="0"/>
                <w:sz w:val="18"/>
                <w:szCs w:val="18"/>
              </w:rPr>
              <w:t>4</w:t>
            </w:r>
            <w:r w:rsidRPr="00B936D6">
              <w:rPr>
                <w:rFonts w:eastAsiaTheme="minorHAnsi" w:cs="Times New Roman"/>
                <w:kern w:val="0"/>
                <w:sz w:val="18"/>
                <w:szCs w:val="18"/>
              </w:rPr>
              <w:t xml:space="preserve">) </w:t>
            </w:r>
            <w:r w:rsidRPr="00B936D6">
              <w:rPr>
                <w:rFonts w:eastAsiaTheme="minorHAnsi" w:cs="Times New Roman" w:hint="eastAsia"/>
                <w:kern w:val="0"/>
                <w:sz w:val="18"/>
                <w:szCs w:val="18"/>
              </w:rPr>
              <w:t>跡地管理</w:t>
            </w:r>
          </w:p>
        </w:tc>
        <w:tc>
          <w:tcPr>
            <w:tcW w:w="8419" w:type="dxa"/>
            <w:tcBorders>
              <w:top w:val="nil"/>
              <w:left w:val="nil"/>
              <w:bottom w:val="single" w:sz="4" w:space="0" w:color="auto"/>
              <w:right w:val="single" w:sz="4" w:space="0" w:color="auto"/>
            </w:tcBorders>
            <w:shd w:val="clear" w:color="auto" w:fill="auto"/>
          </w:tcPr>
          <w:p w14:paraId="10BBA182" w14:textId="77777777"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①</w:t>
            </w:r>
            <w:r w:rsidRPr="00B936D6">
              <w:rPr>
                <w:rFonts w:eastAsiaTheme="minorHAnsi" w:cs="Times New Roman"/>
                <w:kern w:val="0"/>
                <w:sz w:val="18"/>
                <w:szCs w:val="18"/>
              </w:rPr>
              <w:t xml:space="preserve"> 採石場跡地の環境保全対策（埋めもどし、植林等）は、プロジェクト所在国の法規に基づき適切に実施されるか。</w:t>
            </w:r>
          </w:p>
          <w:p w14:paraId="1F64331A" w14:textId="77777777"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②</w:t>
            </w:r>
            <w:r w:rsidRPr="00B936D6">
              <w:rPr>
                <w:rFonts w:eastAsiaTheme="minorHAnsi" w:cs="Times New Roman"/>
                <w:kern w:val="0"/>
                <w:sz w:val="18"/>
                <w:szCs w:val="18"/>
              </w:rPr>
              <w:t xml:space="preserve"> 採石場の跡地管理の継続体制は確立されるか。</w:t>
            </w:r>
          </w:p>
          <w:p w14:paraId="4715DB93" w14:textId="44752331"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③</w:t>
            </w:r>
            <w:r w:rsidRPr="00B936D6">
              <w:rPr>
                <w:rFonts w:eastAsiaTheme="minorHAnsi" w:cs="Times New Roman"/>
                <w:kern w:val="0"/>
                <w:sz w:val="18"/>
                <w:szCs w:val="18"/>
              </w:rPr>
              <w:t xml:space="preserve"> 採石場の跡地管理に関して資金の積み立て等の適切な予算措置は講じられるか。</w:t>
            </w:r>
          </w:p>
        </w:tc>
        <w:tc>
          <w:tcPr>
            <w:tcW w:w="2846" w:type="dxa"/>
            <w:tcBorders>
              <w:top w:val="nil"/>
              <w:left w:val="nil"/>
              <w:bottom w:val="single" w:sz="4" w:space="0" w:color="auto"/>
              <w:right w:val="single" w:sz="4" w:space="0" w:color="auto"/>
            </w:tcBorders>
            <w:shd w:val="clear" w:color="auto" w:fill="auto"/>
          </w:tcPr>
          <w:p w14:paraId="2C9576FD" w14:textId="77777777" w:rsidR="00E472D4" w:rsidRPr="00C348D5" w:rsidRDefault="00E472D4" w:rsidP="00E472D4">
            <w:pPr>
              <w:widowControl/>
              <w:snapToGrid w:val="0"/>
              <w:jc w:val="left"/>
              <w:rPr>
                <w:rFonts w:eastAsiaTheme="minorHAnsi" w:cs="Times New Roman"/>
                <w:kern w:val="0"/>
                <w:sz w:val="18"/>
                <w:szCs w:val="18"/>
              </w:rPr>
            </w:pPr>
          </w:p>
        </w:tc>
      </w:tr>
      <w:tr w:rsidR="00E472D4"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30E2305C" w:rsidR="00E472D4" w:rsidRPr="00C348D5" w:rsidRDefault="00286837" w:rsidP="00E472D4">
            <w:pPr>
              <w:widowControl/>
              <w:snapToGrid w:val="0"/>
              <w:ind w:left="113" w:right="113"/>
              <w:jc w:val="center"/>
              <w:rPr>
                <w:rFonts w:eastAsiaTheme="minorHAnsi" w:cs="Times New Roman"/>
                <w:kern w:val="0"/>
                <w:sz w:val="18"/>
                <w:szCs w:val="18"/>
              </w:rPr>
            </w:pPr>
            <w:r w:rsidRPr="00286837">
              <w:rPr>
                <w:rFonts w:eastAsiaTheme="minorHAnsi" w:cs="Times New Roman"/>
                <w:kern w:val="0"/>
                <w:sz w:val="18"/>
                <w:szCs w:val="18"/>
                <w:eastAsianLayout w:id="-1494961407" w:vert="1" w:vertCompress="1"/>
              </w:rPr>
              <w:lastRenderedPageBreak/>
              <w:t>4</w:t>
            </w:r>
            <w:r w:rsidR="00E472D4" w:rsidRPr="00C348D5">
              <w:rPr>
                <w:rFonts w:eastAsiaTheme="minorHAnsi" w:cs="Times New Roman"/>
                <w:kern w:val="0"/>
                <w:sz w:val="18"/>
                <w:szCs w:val="18"/>
              </w:rPr>
              <w:t xml:space="preserve"> </w:t>
            </w:r>
            <w:r w:rsidR="00E472D4">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E472D4" w:rsidRPr="00B936D6"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w:t>
            </w:r>
            <w:r w:rsidRPr="00B936D6">
              <w:rPr>
                <w:rFonts w:eastAsiaTheme="minorHAnsi" w:cs="Times New Roman"/>
                <w:kern w:val="0"/>
                <w:sz w:val="18"/>
                <w:szCs w:val="18"/>
              </w:rPr>
              <w:t>避できない場合は、影響を最小限とする努力がなされるか。</w:t>
            </w:r>
          </w:p>
          <w:p w14:paraId="3660B015" w14:textId="41861A29"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②</w:t>
            </w:r>
            <w:r w:rsidRPr="00B936D6">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50A65F46" w14:textId="1B633EB6"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③</w:t>
            </w:r>
            <w:r w:rsidRPr="00B936D6">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496996AC" w14:textId="6ADB497E"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④</w:t>
            </w:r>
            <w:r w:rsidRPr="00B936D6">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799F46C1" w14:textId="3BE6FF3D"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⑤</w:t>
            </w:r>
            <w:r w:rsidRPr="00B936D6">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27DA9CBB" w14:textId="0AFD1756" w:rsidR="00E472D4"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⑥</w:t>
            </w:r>
            <w:r w:rsidRPr="00B936D6">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BB052AD"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被影響者について移転前の合意は得られるか。</w:t>
            </w:r>
          </w:p>
          <w:p w14:paraId="0F85A33D"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E472D4" w:rsidRPr="00C348D5"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E472D4" w:rsidRPr="00C348D5" w:rsidRDefault="00E472D4" w:rsidP="00E472D4">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1BD4D8A"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E472D4" w:rsidRPr="00C348D5"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E472D4" w:rsidRPr="00C348D5" w:rsidRDefault="00E472D4" w:rsidP="00E472D4">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008E2306" w:rsidR="00E472D4" w:rsidRPr="00C348D5"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B936D6">
              <w:rPr>
                <w:rFonts w:eastAsiaTheme="minorHAnsi" w:cs="Times New Roman" w:hint="eastAsia"/>
                <w:kern w:val="0"/>
                <w:sz w:val="18"/>
                <w:szCs w:val="18"/>
              </w:rPr>
              <w:t>が</w:t>
            </w:r>
            <w:r w:rsidRPr="00130423">
              <w:rPr>
                <w:rFonts w:eastAsiaTheme="minorHAnsi" w:cs="Times New Roman"/>
                <w:kern w:val="0"/>
                <w:sz w:val="18"/>
                <w:szCs w:val="18"/>
              </w:rPr>
              <w:t>損なわ</w:t>
            </w:r>
            <w:r w:rsidR="00B936D6">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E472D4" w:rsidRPr="00C348D5" w:rsidRDefault="00E472D4" w:rsidP="00E472D4">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E472D4" w:rsidRPr="00C348D5"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E472D4" w:rsidRPr="00C348D5" w:rsidRDefault="00E472D4" w:rsidP="00E472D4">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E472D4" w:rsidRPr="00C348D5"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E472D4" w:rsidRPr="00C348D5" w:rsidRDefault="00E472D4" w:rsidP="00E472D4">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E472D4" w:rsidRPr="005B3636"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E472D4" w:rsidRPr="00C348D5" w:rsidRDefault="00E472D4" w:rsidP="00E472D4">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E472D4" w:rsidRPr="00C348D5"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w:t>
            </w:r>
            <w:r w:rsidRPr="00130423">
              <w:rPr>
                <w:rFonts w:eastAsiaTheme="minorHAnsi" w:cs="Times New Roman"/>
                <w:kern w:val="0"/>
                <w:sz w:val="18"/>
                <w:szCs w:val="18"/>
              </w:rPr>
              <w:lastRenderedPageBreak/>
              <w:t>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E472D4"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E472D4" w:rsidRPr="00C348D5" w:rsidRDefault="00E472D4" w:rsidP="00E472D4">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建設資材、原材料、製品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E472D4" w:rsidRPr="00C348D5"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74399EBF" w14:textId="77777777" w:rsidTr="00286837">
        <w:trPr>
          <w:cantSplit/>
          <w:trHeight w:val="1387"/>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0F394D03" w:rsidR="00E472D4" w:rsidRPr="00C348D5" w:rsidRDefault="00286837" w:rsidP="00E472D4">
            <w:pPr>
              <w:widowControl/>
              <w:snapToGrid w:val="0"/>
              <w:ind w:left="113" w:right="113"/>
              <w:jc w:val="center"/>
              <w:rPr>
                <w:rFonts w:eastAsiaTheme="minorHAnsi" w:cs="Times New Roman"/>
                <w:kern w:val="0"/>
                <w:sz w:val="18"/>
                <w:szCs w:val="18"/>
              </w:rPr>
            </w:pPr>
            <w:r w:rsidRPr="00286837">
              <w:rPr>
                <w:rFonts w:eastAsiaTheme="minorHAnsi" w:cs="Times New Roman"/>
                <w:kern w:val="0"/>
                <w:sz w:val="18"/>
                <w:szCs w:val="18"/>
                <w:eastAsianLayout w:id="-1494961406" w:vert="1" w:vertCompress="1"/>
              </w:rPr>
              <w:t>5</w:t>
            </w:r>
            <w:r w:rsidR="00E472D4" w:rsidRPr="00C348D5">
              <w:rPr>
                <w:rFonts w:eastAsiaTheme="minorHAnsi" w:cs="Times New Roman"/>
                <w:kern w:val="0"/>
                <w:sz w:val="18"/>
                <w:szCs w:val="18"/>
              </w:rPr>
              <w:t xml:space="preserve"> </w:t>
            </w:r>
            <w:r w:rsidR="00E472D4">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23E8F61C" w:rsidR="00E472D4" w:rsidRPr="00130423"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①</w:t>
            </w:r>
            <w:r w:rsidRPr="00B936D6">
              <w:rPr>
                <w:rFonts w:eastAsiaTheme="minorHAnsi" w:cs="Times New Roman"/>
                <w:kern w:val="0"/>
                <w:sz w:val="18"/>
                <w:szCs w:val="18"/>
              </w:rPr>
              <w:t xml:space="preserve"> 前述の分類（2.汚染対策、3.自然環境及び</w:t>
            </w:r>
            <w:r w:rsidR="00B936D6">
              <w:rPr>
                <w:rFonts w:eastAsiaTheme="minorHAnsi" w:cs="Times New Roman" w:hint="eastAsia"/>
                <w:kern w:val="0"/>
                <w:sz w:val="18"/>
                <w:szCs w:val="18"/>
              </w:rPr>
              <w:t>4</w:t>
            </w:r>
            <w:r w:rsidRPr="00B936D6">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E472D4" w:rsidRPr="00C348D5" w:rsidRDefault="00E472D4" w:rsidP="00E472D4">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E472D4" w:rsidRPr="00130423" w:rsidRDefault="00E472D4" w:rsidP="00E472D4">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06EEF43F" w:rsidR="00E472D4" w:rsidRPr="00C348D5"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③</w:t>
            </w:r>
            <w:r w:rsidRPr="00B936D6">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E472D4" w:rsidRPr="00C348D5" w:rsidRDefault="00E472D4" w:rsidP="00E472D4">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E472D4" w:rsidRPr="004667EA" w:rsidRDefault="00E472D4" w:rsidP="00E472D4">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E472D4" w:rsidRPr="004667EA" w:rsidRDefault="00E472D4" w:rsidP="00E472D4">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E472D4" w:rsidRPr="00C348D5" w:rsidRDefault="00E472D4" w:rsidP="00E472D4">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C348D5" w14:paraId="08C88672" w14:textId="77777777" w:rsidTr="00E472D4">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40414BE1" w:rsidR="00E472D4" w:rsidRPr="00C348D5" w:rsidRDefault="00286837" w:rsidP="00E472D4">
            <w:pPr>
              <w:widowControl/>
              <w:snapToGrid w:val="0"/>
              <w:ind w:left="113" w:right="113"/>
              <w:jc w:val="center"/>
              <w:rPr>
                <w:rFonts w:eastAsiaTheme="minorHAnsi" w:cs="Times New Roman"/>
                <w:kern w:val="0"/>
                <w:sz w:val="18"/>
                <w:szCs w:val="18"/>
              </w:rPr>
            </w:pPr>
            <w:r w:rsidRPr="00286837">
              <w:rPr>
                <w:rFonts w:eastAsiaTheme="minorHAnsi" w:cs="Times New Roman"/>
                <w:kern w:val="0"/>
                <w:sz w:val="18"/>
                <w:szCs w:val="18"/>
                <w:eastAsianLayout w:id="-1494961405" w:vert="1" w:vertCompress="1"/>
              </w:rPr>
              <w:lastRenderedPageBreak/>
              <w:t>6</w:t>
            </w:r>
            <w:r w:rsidR="00E472D4" w:rsidRPr="00C348D5">
              <w:rPr>
                <w:rFonts w:eastAsiaTheme="minorHAnsi" w:cs="Times New Roman"/>
                <w:kern w:val="0"/>
                <w:sz w:val="18"/>
                <w:szCs w:val="18"/>
              </w:rPr>
              <w:t xml:space="preserve"> </w:t>
            </w:r>
            <w:r w:rsidR="00E472D4">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296072C3" w14:textId="77777777"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①</w:t>
            </w:r>
            <w:r w:rsidRPr="00B936D6">
              <w:rPr>
                <w:rFonts w:eastAsiaTheme="minorHAnsi" w:cs="Times New Roman"/>
                <w:kern w:val="0"/>
                <w:sz w:val="18"/>
                <w:szCs w:val="18"/>
              </w:rPr>
              <w:t xml:space="preserve"> 必要な場合は、港湾に係るチェックリストの該当チェック事項も追加して評価すること（港湾設備の建設を伴う場合等）。</w:t>
            </w:r>
          </w:p>
          <w:p w14:paraId="155578ED" w14:textId="2ACB97FF" w:rsidR="00E472D4" w:rsidRPr="00C348D5"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②</w:t>
            </w:r>
            <w:r w:rsidRPr="00B936D6">
              <w:rPr>
                <w:rFonts w:eastAsiaTheme="minorHAnsi" w:cs="Times New Roman"/>
                <w:kern w:val="0"/>
                <w:sz w:val="18"/>
                <w:szCs w:val="18"/>
              </w:rPr>
              <w:t xml:space="preserve"> 必要な場合は、発電に係るチェックリストの該当チェック事項も追加して評価すること（自家発電所の建設を伴う場合等）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E472D4" w:rsidRPr="00C348D5" w:rsidRDefault="00E472D4" w:rsidP="00E472D4">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E472D4" w:rsidRPr="00B936D6"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E472D4" w:rsidRPr="00C348D5" w:rsidRDefault="00E472D4" w:rsidP="00E472D4">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kern w:val="0"/>
                <w:sz w:val="18"/>
                <w:szCs w:val="18"/>
              </w:rPr>
              <w:t xml:space="preserve">(2) </w:t>
            </w:r>
            <w:r w:rsidRPr="00B936D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4CF7D7DD" w14:textId="77777777"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①</w:t>
            </w:r>
            <w:r w:rsidRPr="00B936D6">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p w14:paraId="35D021DF" w14:textId="3F3437F8"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hint="eastAsia"/>
                <w:kern w:val="0"/>
                <w:sz w:val="18"/>
                <w:szCs w:val="18"/>
              </w:rPr>
              <w:t>②</w:t>
            </w:r>
            <w:r w:rsidRPr="00B936D6">
              <w:rPr>
                <w:rFonts w:eastAsiaTheme="minorHAnsi" w:cs="Times New Roman"/>
                <w:kern w:val="0"/>
                <w:sz w:val="18"/>
                <w:szCs w:val="18"/>
              </w:rPr>
              <w:t xml:space="preserve"> 廃棄物由来の原料（高炉スラグ、石炭灰、汚泥、スラッジ等）及び燃料（使用済み溶剤、廃油、廃タイヤ、廃プラスチック、有機化学系廃棄物等）を利用する際は、その影響について十分配慮すること。</w:t>
            </w:r>
          </w:p>
        </w:tc>
        <w:tc>
          <w:tcPr>
            <w:tcW w:w="2846" w:type="dxa"/>
            <w:tcBorders>
              <w:top w:val="nil"/>
              <w:left w:val="nil"/>
              <w:bottom w:val="single" w:sz="4" w:space="0" w:color="auto"/>
              <w:right w:val="single" w:sz="4" w:space="0" w:color="auto"/>
            </w:tcBorders>
            <w:shd w:val="clear" w:color="auto" w:fill="auto"/>
            <w:hideMark/>
          </w:tcPr>
          <w:p w14:paraId="0CB02A8D" w14:textId="77777777" w:rsidR="00E472D4" w:rsidRPr="00B936D6" w:rsidRDefault="00E472D4" w:rsidP="00E472D4">
            <w:pPr>
              <w:widowControl/>
              <w:snapToGrid w:val="0"/>
              <w:jc w:val="left"/>
              <w:rPr>
                <w:rFonts w:eastAsiaTheme="minorHAnsi" w:cs="Times New Roman"/>
                <w:kern w:val="0"/>
                <w:sz w:val="18"/>
                <w:szCs w:val="18"/>
              </w:rPr>
            </w:pPr>
            <w:r w:rsidRPr="00B936D6">
              <w:rPr>
                <w:rFonts w:eastAsiaTheme="minorHAnsi" w:cs="Times New Roman"/>
                <w:kern w:val="0"/>
                <w:sz w:val="18"/>
                <w:szCs w:val="18"/>
              </w:rPr>
              <w:t xml:space="preserve">　</w:t>
            </w:r>
          </w:p>
        </w:tc>
      </w:tr>
    </w:tbl>
    <w:p w14:paraId="58F18F0A" w14:textId="2D2139B8" w:rsidR="005B3636" w:rsidRPr="005B3636" w:rsidRDefault="005B3636" w:rsidP="005B3636">
      <w:pPr>
        <w:widowControl/>
        <w:snapToGrid w:val="0"/>
        <w:jc w:val="left"/>
        <w:rPr>
          <w:rFonts w:eastAsiaTheme="minorHAnsi" w:cs="Times New Roman"/>
          <w:kern w:val="0"/>
          <w:sz w:val="16"/>
          <w:szCs w:val="16"/>
        </w:rPr>
      </w:pPr>
      <w:r w:rsidRPr="00B936D6">
        <w:rPr>
          <w:rFonts w:eastAsiaTheme="minorHAnsi" w:cs="Times New Roman"/>
          <w:kern w:val="0"/>
          <w:sz w:val="16"/>
          <w:szCs w:val="16"/>
        </w:rPr>
        <w:t>注1)　環境社会配慮の内容については、</w:t>
      </w:r>
      <w:r w:rsidR="00286837">
        <w:rPr>
          <w:rFonts w:eastAsiaTheme="minorHAnsi" w:cs="Times New Roman" w:hint="eastAsia"/>
          <w:kern w:val="0"/>
          <w:sz w:val="16"/>
          <w:szCs w:val="16"/>
        </w:rPr>
        <w:t>プロジェクト所在</w:t>
      </w:r>
      <w:r w:rsidRPr="00B936D6">
        <w:rPr>
          <w:rFonts w:eastAsiaTheme="minorHAnsi" w:cs="Times New Roman"/>
          <w:kern w:val="0"/>
          <w:sz w:val="16"/>
          <w:szCs w:val="16"/>
        </w:rPr>
        <w:t>国</w:t>
      </w:r>
      <w:r w:rsidR="00286837">
        <w:rPr>
          <w:rFonts w:eastAsiaTheme="minorHAnsi" w:cs="Times New Roman" w:hint="eastAsia"/>
          <w:kern w:val="0"/>
          <w:sz w:val="16"/>
          <w:szCs w:val="16"/>
        </w:rPr>
        <w:t>・</w:t>
      </w:r>
      <w:r w:rsidRPr="00B936D6">
        <w:rPr>
          <w:rFonts w:eastAsiaTheme="minorHAnsi" w:cs="Times New Roman"/>
          <w:kern w:val="0"/>
          <w:sz w:val="16"/>
          <w:szCs w:val="16"/>
        </w:rPr>
        <w:t>地</w:t>
      </w:r>
      <w:r w:rsidRPr="005B3636">
        <w:rPr>
          <w:rFonts w:eastAsiaTheme="minorHAnsi" w:cs="Times New Roman"/>
          <w:kern w:val="0"/>
          <w:sz w:val="16"/>
          <w:szCs w:val="16"/>
        </w:rPr>
        <w:t>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6EB0074E" w:rsidR="005B3636" w:rsidRPr="005B3636" w:rsidRDefault="00286837"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CB47" w14:textId="77777777" w:rsidR="00361494" w:rsidRDefault="00361494" w:rsidP="00751CFC">
      <w:r>
        <w:separator/>
      </w:r>
    </w:p>
  </w:endnote>
  <w:endnote w:type="continuationSeparator" w:id="0">
    <w:p w14:paraId="37AA1958" w14:textId="77777777" w:rsidR="00361494" w:rsidRDefault="00361494"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D423" w14:textId="77777777" w:rsidR="00361494" w:rsidRDefault="00361494" w:rsidP="00751CFC">
      <w:r>
        <w:separator/>
      </w:r>
    </w:p>
  </w:footnote>
  <w:footnote w:type="continuationSeparator" w:id="0">
    <w:p w14:paraId="7F2021E8" w14:textId="77777777" w:rsidR="00361494" w:rsidRDefault="00361494"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79BAD43D" w:rsidR="00751CFC" w:rsidRDefault="00E17A04" w:rsidP="00751CFC">
    <w:pPr>
      <w:snapToGrid w:val="0"/>
    </w:pPr>
    <w:r w:rsidRPr="00E17A04">
      <w:rPr>
        <w:rFonts w:hint="eastAsia"/>
        <w:b/>
      </w:rPr>
      <w:t>環境チェックリスト：１０．セメント</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286837" w:rsidRPr="00286837">
      <w:rPr>
        <w:b/>
        <w:noProof/>
        <w:lang w:val="ja-JP"/>
      </w:rPr>
      <w:t>2</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30423"/>
    <w:rsid w:val="00222362"/>
    <w:rsid w:val="00286837"/>
    <w:rsid w:val="002971DC"/>
    <w:rsid w:val="00361494"/>
    <w:rsid w:val="003B1271"/>
    <w:rsid w:val="003E741A"/>
    <w:rsid w:val="00432352"/>
    <w:rsid w:val="004667EA"/>
    <w:rsid w:val="004C0217"/>
    <w:rsid w:val="00537738"/>
    <w:rsid w:val="0059696F"/>
    <w:rsid w:val="005B3636"/>
    <w:rsid w:val="00693E17"/>
    <w:rsid w:val="006B6D79"/>
    <w:rsid w:val="00751CFC"/>
    <w:rsid w:val="007C6674"/>
    <w:rsid w:val="007D27BE"/>
    <w:rsid w:val="00891DC7"/>
    <w:rsid w:val="00A46259"/>
    <w:rsid w:val="00B127C0"/>
    <w:rsid w:val="00B936D6"/>
    <w:rsid w:val="00C348D5"/>
    <w:rsid w:val="00C802F2"/>
    <w:rsid w:val="00E17A04"/>
    <w:rsid w:val="00E472D4"/>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2022-12-29T04:02:37+00:00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F679CA0-7E52-4F87-84AB-57BF63EB8926}"/>
</file>

<file path=customXml/itemProps2.xml><?xml version="1.0" encoding="utf-8"?>
<ds:datastoreItem xmlns:ds="http://schemas.openxmlformats.org/officeDocument/2006/customXml" ds:itemID="{3EE31A6A-4D70-456F-B149-1EF3B2EFF0F3}"/>
</file>

<file path=customXml/itemProps3.xml><?xml version="1.0" encoding="utf-8"?>
<ds:datastoreItem xmlns:ds="http://schemas.openxmlformats.org/officeDocument/2006/customXml" ds:itemID="{E8B4DDE3-CC0D-4259-85CB-70FE5088BF64}"/>
</file>

<file path=customXml/itemProps4.xml><?xml version="1.0" encoding="utf-8"?>
<ds:datastoreItem xmlns:ds="http://schemas.openxmlformats.org/officeDocument/2006/customXml" ds:itemID="{76EDDD81-A612-418F-8E2C-170B1DD05057}"/>
</file>

<file path=customXml/itemProps5.xml><?xml version="1.0" encoding="utf-8"?>
<ds:datastoreItem xmlns:ds="http://schemas.openxmlformats.org/officeDocument/2006/customXml" ds:itemID="{2155A184-5B4D-46FF-B0A7-2F4031397575}"/>
</file>

<file path=docProps/app.xml><?xml version="1.0" encoding="utf-8"?>
<Properties xmlns="http://schemas.openxmlformats.org/officeDocument/2006/extended-properties" xmlns:vt="http://schemas.openxmlformats.org/officeDocument/2006/docPropsVTypes">
  <Template>Normal.dotm</Template>
  <TotalTime>1</TotalTime>
  <Pages>8</Pages>
  <Words>1075</Words>
  <Characters>6133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2022-06-28T10:37:00Z</dcterms:created>
  <dcterms:modified xsi:type="dcterms:W3CDTF">2022-06-29T03:29:00Z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